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4412B21F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7F648E">
        <w:rPr>
          <w:rStyle w:val="Strong"/>
          <w:rFonts w:asciiTheme="minorHAnsi" w:hAnsiTheme="minorHAnsi" w:cstheme="minorHAnsi"/>
          <w:lang w:val="en-GB"/>
        </w:rPr>
        <w:t>22-W003-24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54C5C609" w14:textId="69E14105" w:rsidR="002D0C26" w:rsidRPr="002D0C26" w:rsidRDefault="002D0C26" w:rsidP="002D0C26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color w:val="1F1F1F"/>
          <w:sz w:val="20"/>
          <w:szCs w:val="20"/>
        </w:rPr>
      </w:pPr>
      <w:bookmarkStart w:id="5" w:name="_Toc312171709"/>
      <w:r w:rsidRPr="002D0C26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The Tungaru Central Hospital Emergency Ward has served the community </w:t>
      </w:r>
      <w:r w:rsidR="009D3436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of </w:t>
      </w:r>
      <w:r w:rsidRPr="002D0C26">
        <w:rPr>
          <w:rFonts w:asciiTheme="minorHAnsi" w:eastAsia="Times New Roman" w:hAnsiTheme="minorHAnsi" w:cstheme="minorHAnsi"/>
          <w:color w:val="1F1F1F"/>
          <w:sz w:val="20"/>
          <w:szCs w:val="20"/>
        </w:rPr>
        <w:t>TUC, BTC, and a</w:t>
      </w:r>
      <w:r w:rsidR="009D3436">
        <w:rPr>
          <w:rFonts w:asciiTheme="minorHAnsi" w:eastAsia="Times New Roman" w:hAnsiTheme="minorHAnsi" w:cstheme="minorHAnsi"/>
          <w:color w:val="1F1F1F"/>
          <w:sz w:val="20"/>
          <w:szCs w:val="20"/>
        </w:rPr>
        <w:t>ll outer island emergency cases</w:t>
      </w:r>
      <w:r w:rsidRPr="002D0C26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 for the past 30 years. Currently equipped with </w:t>
      </w:r>
      <w:r w:rsidR="009D3436">
        <w:rPr>
          <w:rFonts w:asciiTheme="minorHAnsi" w:eastAsia="Times New Roman" w:hAnsiTheme="minorHAnsi" w:cstheme="minorHAnsi"/>
          <w:color w:val="1F1F1F"/>
          <w:sz w:val="20"/>
          <w:szCs w:val="20"/>
        </w:rPr>
        <w:t>sufficient</w:t>
      </w:r>
      <w:r w:rsidRPr="002D0C26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 beds and various resources, it operates with a dedicated team</w:t>
      </w:r>
      <w:r w:rsidR="009D3436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 of doctors and nurses.</w:t>
      </w:r>
    </w:p>
    <w:p w14:paraId="23A02EE7" w14:textId="18104C9F" w:rsidR="009D3436" w:rsidRDefault="009D3436" w:rsidP="002D0C26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color w:val="1F1F1F"/>
          <w:sz w:val="20"/>
          <w:szCs w:val="20"/>
        </w:rPr>
      </w:pPr>
      <w:r>
        <w:rPr>
          <w:rFonts w:asciiTheme="minorHAnsi" w:eastAsia="Times New Roman" w:hAnsiTheme="minorHAnsi" w:cstheme="minorHAnsi"/>
          <w:color w:val="1F1F1F"/>
          <w:sz w:val="20"/>
          <w:szCs w:val="20"/>
        </w:rPr>
        <w:t>As the population is projected to double, significant challenges are emerging. This anticipated growth, combined with the existing demand</w:t>
      </w:r>
      <w:r w:rsidR="0012538A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s placed on the Emergency Ward, necessitates an expansion of its capacity to ensure continue high quality care for the public. </w:t>
      </w:r>
    </w:p>
    <w:p w14:paraId="4B5B7107" w14:textId="6C951AEA" w:rsidR="0012538A" w:rsidRDefault="0012538A" w:rsidP="002D0C26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color w:val="1F1F1F"/>
          <w:sz w:val="20"/>
          <w:szCs w:val="20"/>
        </w:rPr>
      </w:pPr>
      <w:r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The objective of the Emergency Ward Extension is to </w:t>
      </w:r>
    </w:p>
    <w:p w14:paraId="27EB9E6A" w14:textId="77777777" w:rsidR="002D0C26" w:rsidRPr="0012538A" w:rsidRDefault="002D0C26" w:rsidP="0012538A">
      <w:pPr>
        <w:pStyle w:val="ListParagraph"/>
        <w:numPr>
          <w:ilvl w:val="0"/>
          <w:numId w:val="21"/>
        </w:numPr>
        <w:shd w:val="clear" w:color="auto" w:fill="FFFFFF"/>
        <w:spacing w:before="100" w:beforeAutospacing="1"/>
        <w:ind w:leftChars="0"/>
        <w:rPr>
          <w:rFonts w:asciiTheme="minorHAnsi" w:hAnsiTheme="minorHAnsi" w:cstheme="minorHAnsi"/>
          <w:color w:val="1F1F1F"/>
          <w:szCs w:val="20"/>
        </w:rPr>
      </w:pPr>
      <w:r w:rsidRPr="0012538A">
        <w:rPr>
          <w:rFonts w:asciiTheme="minorHAnsi" w:hAnsiTheme="minorHAnsi" w:cstheme="minorHAnsi"/>
          <w:b/>
          <w:bCs/>
          <w:color w:val="1F1F1F"/>
          <w:szCs w:val="20"/>
        </w:rPr>
        <w:t>Reduce wait times</w:t>
      </w:r>
      <w:r w:rsidRPr="0012538A">
        <w:rPr>
          <w:rFonts w:asciiTheme="minorHAnsi" w:hAnsiTheme="minorHAnsi" w:cstheme="minorHAnsi"/>
          <w:color w:val="1F1F1F"/>
          <w:szCs w:val="20"/>
        </w:rPr>
        <w:t> for patients.</w:t>
      </w:r>
    </w:p>
    <w:p w14:paraId="15290461" w14:textId="6492E636" w:rsidR="002D0C26" w:rsidRPr="0012538A" w:rsidRDefault="002D0C26" w:rsidP="0012538A">
      <w:pPr>
        <w:pStyle w:val="ListParagraph"/>
        <w:numPr>
          <w:ilvl w:val="0"/>
          <w:numId w:val="21"/>
        </w:numPr>
        <w:shd w:val="clear" w:color="auto" w:fill="FFFFFF"/>
        <w:spacing w:before="100" w:beforeAutospacing="1"/>
        <w:ind w:leftChars="0"/>
        <w:rPr>
          <w:rFonts w:asciiTheme="minorHAnsi" w:hAnsiTheme="minorHAnsi" w:cstheme="minorHAnsi"/>
          <w:color w:val="1F1F1F"/>
          <w:szCs w:val="20"/>
        </w:rPr>
      </w:pPr>
      <w:r w:rsidRPr="0012538A">
        <w:rPr>
          <w:rFonts w:asciiTheme="minorHAnsi" w:hAnsiTheme="minorHAnsi" w:cstheme="minorHAnsi"/>
          <w:b/>
          <w:bCs/>
          <w:color w:val="1F1F1F"/>
          <w:szCs w:val="20"/>
        </w:rPr>
        <w:t>Improve access to emergency care</w:t>
      </w:r>
      <w:r w:rsidR="00921159">
        <w:rPr>
          <w:rFonts w:asciiTheme="minorHAnsi" w:hAnsiTheme="minorHAnsi" w:cstheme="minorHAnsi"/>
          <w:color w:val="1F1F1F"/>
          <w:szCs w:val="20"/>
        </w:rPr>
        <w:t> for the public</w:t>
      </w:r>
    </w:p>
    <w:p w14:paraId="6199B5BC" w14:textId="77777777" w:rsidR="002D0C26" w:rsidRPr="0012538A" w:rsidRDefault="002D0C26" w:rsidP="0012538A">
      <w:pPr>
        <w:pStyle w:val="ListParagraph"/>
        <w:numPr>
          <w:ilvl w:val="0"/>
          <w:numId w:val="21"/>
        </w:numPr>
        <w:shd w:val="clear" w:color="auto" w:fill="FFFFFF"/>
        <w:spacing w:before="100" w:beforeAutospacing="1"/>
        <w:ind w:leftChars="0"/>
        <w:rPr>
          <w:rFonts w:asciiTheme="minorHAnsi" w:hAnsiTheme="minorHAnsi" w:cstheme="minorHAnsi"/>
          <w:color w:val="1F1F1F"/>
          <w:szCs w:val="20"/>
        </w:rPr>
      </w:pPr>
      <w:r w:rsidRPr="0012538A">
        <w:rPr>
          <w:rFonts w:asciiTheme="minorHAnsi" w:hAnsiTheme="minorHAnsi" w:cstheme="minorHAnsi"/>
          <w:b/>
          <w:bCs/>
          <w:color w:val="1F1F1F"/>
          <w:szCs w:val="20"/>
        </w:rPr>
        <w:t>Enhance capacity</w:t>
      </w:r>
      <w:r w:rsidRPr="0012538A">
        <w:rPr>
          <w:rFonts w:asciiTheme="minorHAnsi" w:hAnsiTheme="minorHAnsi" w:cstheme="minorHAnsi"/>
          <w:color w:val="1F1F1F"/>
          <w:szCs w:val="20"/>
        </w:rPr>
        <w:t> to handle patient surges and emergencies.</w:t>
      </w:r>
    </w:p>
    <w:p w14:paraId="60DDC57C" w14:textId="77777777" w:rsidR="002D0C26" w:rsidRPr="0012538A" w:rsidRDefault="002D0C26" w:rsidP="0012538A">
      <w:pPr>
        <w:pStyle w:val="ListParagraph"/>
        <w:numPr>
          <w:ilvl w:val="0"/>
          <w:numId w:val="21"/>
        </w:numPr>
        <w:shd w:val="clear" w:color="auto" w:fill="FFFFFF"/>
        <w:spacing w:before="100" w:beforeAutospacing="1"/>
        <w:ind w:leftChars="0"/>
        <w:rPr>
          <w:rFonts w:asciiTheme="minorHAnsi" w:hAnsiTheme="minorHAnsi" w:cstheme="minorHAnsi"/>
          <w:color w:val="1F1F1F"/>
          <w:szCs w:val="20"/>
        </w:rPr>
      </w:pPr>
      <w:r w:rsidRPr="0012538A">
        <w:rPr>
          <w:rFonts w:asciiTheme="minorHAnsi" w:hAnsiTheme="minorHAnsi" w:cstheme="minorHAnsi"/>
          <w:b/>
          <w:bCs/>
          <w:color w:val="1F1F1F"/>
          <w:szCs w:val="20"/>
        </w:rPr>
        <w:t>Improve working conditions</w:t>
      </w:r>
      <w:r w:rsidRPr="0012538A">
        <w:rPr>
          <w:rFonts w:asciiTheme="minorHAnsi" w:hAnsiTheme="minorHAnsi" w:cstheme="minorHAnsi"/>
          <w:color w:val="1F1F1F"/>
          <w:szCs w:val="20"/>
        </w:rPr>
        <w:t> for staff.</w:t>
      </w:r>
    </w:p>
    <w:p w14:paraId="36EE1E3C" w14:textId="77777777" w:rsidR="002D0C26" w:rsidRPr="0012538A" w:rsidRDefault="002D0C26" w:rsidP="0012538A">
      <w:pPr>
        <w:pStyle w:val="ListParagraph"/>
        <w:numPr>
          <w:ilvl w:val="0"/>
          <w:numId w:val="21"/>
        </w:numPr>
        <w:shd w:val="clear" w:color="auto" w:fill="FFFFFF"/>
        <w:spacing w:before="100" w:beforeAutospacing="1"/>
        <w:ind w:leftChars="0"/>
        <w:rPr>
          <w:rFonts w:asciiTheme="minorHAnsi" w:hAnsiTheme="minorHAnsi" w:cstheme="minorHAnsi"/>
          <w:color w:val="1F1F1F"/>
          <w:szCs w:val="20"/>
        </w:rPr>
      </w:pPr>
      <w:r w:rsidRPr="0012538A">
        <w:rPr>
          <w:rFonts w:asciiTheme="minorHAnsi" w:hAnsiTheme="minorHAnsi" w:cstheme="minorHAnsi"/>
          <w:b/>
          <w:bCs/>
          <w:color w:val="1F1F1F"/>
          <w:szCs w:val="20"/>
        </w:rPr>
        <w:t>Reduce pressure</w:t>
      </w:r>
      <w:r w:rsidRPr="0012538A">
        <w:rPr>
          <w:rFonts w:asciiTheme="minorHAnsi" w:hAnsiTheme="minorHAnsi" w:cstheme="minorHAnsi"/>
          <w:color w:val="1F1F1F"/>
          <w:szCs w:val="20"/>
        </w:rPr>
        <w:t> on the healthcare system.</w:t>
      </w:r>
    </w:p>
    <w:p w14:paraId="7B5F92D2" w14:textId="1A392D94" w:rsidR="002D0C26" w:rsidRPr="002D0C26" w:rsidRDefault="002D0C26" w:rsidP="002D0C26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color w:val="1F1F1F"/>
          <w:sz w:val="20"/>
          <w:szCs w:val="20"/>
        </w:rPr>
      </w:pPr>
      <w:r w:rsidRPr="002D0C26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This proactive approach aims to ensure the Tungaru Central Hospital Emergency Ward </w:t>
      </w:r>
      <w:r w:rsidR="0012538A">
        <w:rPr>
          <w:rFonts w:asciiTheme="minorHAnsi" w:eastAsia="Times New Roman" w:hAnsiTheme="minorHAnsi" w:cstheme="minorHAnsi"/>
          <w:color w:val="1F1F1F"/>
          <w:sz w:val="20"/>
          <w:szCs w:val="20"/>
        </w:rPr>
        <w:t>continues to serve the public</w:t>
      </w:r>
      <w:r w:rsidRPr="002D0C26">
        <w:rPr>
          <w:rFonts w:asciiTheme="minorHAnsi" w:eastAsia="Times New Roman" w:hAnsiTheme="minorHAnsi" w:cstheme="minorHAnsi"/>
          <w:color w:val="1F1F1F"/>
          <w:sz w:val="20"/>
          <w:szCs w:val="20"/>
        </w:rPr>
        <w:t xml:space="preserve"> effectively, providing accessible and high-quality emergency care for present and future generations.</w:t>
      </w:r>
    </w:p>
    <w:p w14:paraId="000280F4" w14:textId="02AB1042" w:rsidR="00C44890" w:rsidRPr="00D14536" w:rsidRDefault="002A4740" w:rsidP="00D14536">
      <w:pPr>
        <w:rPr>
          <w:lang w:val="en-GB"/>
        </w:rPr>
      </w:pPr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63B9B8A8" w14:textId="22CEBA87" w:rsidR="002A4740" w:rsidRPr="0015511A" w:rsidRDefault="00413404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15511A">
        <w:rPr>
          <w:sz w:val="24"/>
          <w:szCs w:val="24"/>
          <w:lang w:val="en-GB"/>
        </w:rPr>
        <w:t xml:space="preserve">Certificate of accreditation </w:t>
      </w:r>
    </w:p>
    <w:p w14:paraId="6FD6A502" w14:textId="1E17BE5B" w:rsidR="00413404" w:rsidRPr="0015511A" w:rsidRDefault="00413404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15511A">
        <w:rPr>
          <w:sz w:val="24"/>
          <w:szCs w:val="24"/>
          <w:lang w:val="en-GB"/>
        </w:rPr>
        <w:t>Business licenses</w:t>
      </w:r>
      <w:r w:rsidR="007F648E">
        <w:rPr>
          <w:sz w:val="24"/>
          <w:szCs w:val="24"/>
          <w:lang w:val="en-GB"/>
        </w:rPr>
        <w:t xml:space="preserve"> (from Council)</w:t>
      </w:r>
      <w:r w:rsidRPr="0015511A">
        <w:rPr>
          <w:sz w:val="24"/>
          <w:szCs w:val="24"/>
          <w:lang w:val="en-GB"/>
        </w:rPr>
        <w:t xml:space="preserve"> and registration</w:t>
      </w:r>
      <w:r w:rsidR="007F648E">
        <w:rPr>
          <w:sz w:val="24"/>
          <w:szCs w:val="24"/>
          <w:lang w:val="en-GB"/>
        </w:rPr>
        <w:t xml:space="preserve"> (from MTCIC)</w:t>
      </w:r>
    </w:p>
    <w:p w14:paraId="61C61ACB" w14:textId="6F252766" w:rsidR="00413404" w:rsidRPr="0015511A" w:rsidRDefault="00413404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15511A">
        <w:rPr>
          <w:sz w:val="24"/>
          <w:szCs w:val="24"/>
          <w:lang w:val="en-GB"/>
        </w:rPr>
        <w:t>Experience of related work</w:t>
      </w:r>
    </w:p>
    <w:p w14:paraId="57CD92E5" w14:textId="1681F054" w:rsidR="00413404" w:rsidRPr="0015511A" w:rsidRDefault="00D14536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Project Gantt Chart</w:t>
      </w:r>
    </w:p>
    <w:p w14:paraId="71E4A294" w14:textId="63FA3ED5" w:rsidR="00413404" w:rsidRPr="0015511A" w:rsidRDefault="0039506F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Proposed a costing of Emergency</w:t>
      </w:r>
      <w:r w:rsidR="00413404" w:rsidRPr="0015511A">
        <w:rPr>
          <w:sz w:val="24"/>
          <w:szCs w:val="24"/>
          <w:lang w:val="en-GB"/>
        </w:rPr>
        <w:t xml:space="preserve"> Extension</w:t>
      </w:r>
      <w:r>
        <w:rPr>
          <w:sz w:val="24"/>
          <w:szCs w:val="24"/>
          <w:lang w:val="en-GB"/>
        </w:rPr>
        <w:t xml:space="preserve"> Ward</w:t>
      </w:r>
    </w:p>
    <w:p w14:paraId="0885218F" w14:textId="2BE46F6E" w:rsidR="00413404" w:rsidRPr="00D14536" w:rsidRDefault="00413404" w:rsidP="00D14536">
      <w:pPr>
        <w:ind w:left="360"/>
        <w:rPr>
          <w:lang w:val="en-GB"/>
        </w:rPr>
      </w:pPr>
    </w:p>
    <w:p w14:paraId="65A62D34" w14:textId="4B8B85B1" w:rsidR="00C44890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0DC95129" w14:textId="7A4D2405" w:rsidR="00312E92" w:rsidRPr="00312E92" w:rsidRDefault="00312E92" w:rsidP="00312E92">
      <w:pPr>
        <w:rPr>
          <w:lang w:val="en-GB"/>
        </w:rPr>
      </w:pPr>
      <w:r>
        <w:rPr>
          <w:lang w:val="en-GB"/>
        </w:rPr>
        <w:t>Health Related Co</w:t>
      </w:r>
      <w:r w:rsidR="0039506F">
        <w:rPr>
          <w:lang w:val="en-GB"/>
        </w:rPr>
        <w:t xml:space="preserve">nstruction Building. 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6C2F42E5" w14:textId="77777777" w:rsidR="00FE4770" w:rsidRDefault="00C44890" w:rsidP="00FE4770">
      <w:pPr>
        <w:rPr>
          <w:lang w:val="en-GB"/>
        </w:rPr>
      </w:pPr>
      <w:r w:rsidRPr="00B0535A">
        <w:rPr>
          <w:highlight w:val="yellow"/>
          <w:lang w:val="en-GB"/>
        </w:rPr>
        <w:t xml:space="preserve">&lt;insert requested </w:t>
      </w:r>
      <w:r w:rsidR="00272E3F" w:rsidRPr="00B0535A">
        <w:rPr>
          <w:highlight w:val="yellow"/>
          <w:lang w:val="en-GB"/>
        </w:rPr>
        <w:t xml:space="preserve">project &amp; </w:t>
      </w:r>
      <w:r w:rsidRPr="00B0535A">
        <w:rPr>
          <w:highlight w:val="yellow"/>
          <w:lang w:val="en-GB"/>
        </w:rPr>
        <w:t>delivery time</w:t>
      </w:r>
      <w:r w:rsidR="00362FE8">
        <w:rPr>
          <w:highlight w:val="yellow"/>
          <w:lang w:val="en-GB"/>
        </w:rPr>
        <w:t>(s)</w:t>
      </w:r>
      <w:r w:rsidR="00772E21" w:rsidRPr="00B0535A">
        <w:rPr>
          <w:highlight w:val="yellow"/>
          <w:lang w:val="en-GB"/>
        </w:rPr>
        <w:t>, if general, otherwise in the table below</w:t>
      </w:r>
      <w:r w:rsidRPr="00B0535A">
        <w:rPr>
          <w:highlight w:val="yellow"/>
          <w:lang w:val="en-GB"/>
        </w:rPr>
        <w:t>&gt;</w:t>
      </w:r>
      <w:bookmarkEnd w:id="4"/>
      <w:bookmarkEnd w:id="5"/>
    </w:p>
    <w:p w14:paraId="1381EAD7" w14:textId="77777777" w:rsidR="00FE4770" w:rsidRDefault="00FE4770" w:rsidP="00FE4770">
      <w:pPr>
        <w:rPr>
          <w:lang w:val="en-GB"/>
        </w:rPr>
      </w:pPr>
    </w:p>
    <w:p w14:paraId="7A1AF778" w14:textId="77777777" w:rsidR="00FE4770" w:rsidRDefault="00FE4770" w:rsidP="00FE4770">
      <w:pPr>
        <w:rPr>
          <w:lang w:val="en-GB"/>
        </w:rPr>
      </w:pPr>
    </w:p>
    <w:p w14:paraId="7794ADBA" w14:textId="77777777" w:rsidR="00FE4770" w:rsidRDefault="00FE4770" w:rsidP="00FE4770">
      <w:pPr>
        <w:rPr>
          <w:lang w:val="en-GB"/>
        </w:rPr>
      </w:pPr>
    </w:p>
    <w:p w14:paraId="625DFCD7" w14:textId="6C264715" w:rsidR="00C44890" w:rsidRPr="00FE4770" w:rsidRDefault="00C44890" w:rsidP="00FE4770">
      <w:pPr>
        <w:rPr>
          <w:lang w:val="en-GB"/>
        </w:rPr>
      </w:pPr>
      <w:r w:rsidRPr="00B0535A">
        <w:lastRenderedPageBreak/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5B1C1E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5B1C1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4C9EF" w14:textId="77777777" w:rsidR="005B1C1E" w:rsidRDefault="005B1C1E">
      <w:r>
        <w:separator/>
      </w:r>
    </w:p>
  </w:endnote>
  <w:endnote w:type="continuationSeparator" w:id="0">
    <w:p w14:paraId="733E4337" w14:textId="77777777" w:rsidR="005B1C1E" w:rsidRDefault="005B1C1E">
      <w:r>
        <w:continuationSeparator/>
      </w:r>
    </w:p>
  </w:endnote>
  <w:endnote w:type="continuationNotice" w:id="1">
    <w:p w14:paraId="099B1AED" w14:textId="77777777" w:rsidR="005B1C1E" w:rsidRDefault="005B1C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E4770" w:rsidRPr="00FE4770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E4770" w:rsidRPr="00FE4770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74820B7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F648E">
      <w:rPr>
        <w:noProof/>
      </w:rPr>
      <w:t>2024-04-05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35A46" w14:textId="77777777" w:rsidR="005B1C1E" w:rsidRDefault="005B1C1E">
      <w:r>
        <w:separator/>
      </w:r>
    </w:p>
  </w:footnote>
  <w:footnote w:type="continuationSeparator" w:id="0">
    <w:p w14:paraId="699FBE9B" w14:textId="77777777" w:rsidR="005B1C1E" w:rsidRDefault="005B1C1E">
      <w:r>
        <w:continuationSeparator/>
      </w:r>
    </w:p>
  </w:footnote>
  <w:footnote w:type="continuationNotice" w:id="1">
    <w:p w14:paraId="7441F9AB" w14:textId="77777777" w:rsidR="005B1C1E" w:rsidRDefault="005B1C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D3755" w14:textId="5C07F629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BD3F80">
      <w:rPr>
        <w:rFonts w:asciiTheme="minorHAnsi" w:hAnsiTheme="minorHAnsi" w:cs="Calibri"/>
        <w:sz w:val="20"/>
      </w:rPr>
      <w:fldChar w:fldCharType="begin"/>
    </w:r>
    <w:r w:rsidR="00BD3F80">
      <w:rPr>
        <w:rFonts w:asciiTheme="minorHAnsi" w:hAnsiTheme="minorHAnsi" w:cs="Calibri"/>
        <w:sz w:val="20"/>
      </w:rPr>
      <w:instrText xml:space="preserve"> REF Number \h </w:instrText>
    </w:r>
    <w:r w:rsidR="00D47CCE">
      <w:rPr>
        <w:rFonts w:asciiTheme="minorHAnsi" w:hAnsiTheme="minorHAnsi" w:cs="Calibri"/>
        <w:sz w:val="20"/>
      </w:rPr>
      <w:instrText xml:space="preserve"> \* MERGEFORMAT </w:instrText>
    </w:r>
    <w:r w:rsidR="00BD3F80">
      <w:rPr>
        <w:rFonts w:asciiTheme="minorHAnsi" w:hAnsiTheme="minorHAnsi" w:cs="Calibri"/>
        <w:sz w:val="20"/>
      </w:rPr>
    </w:r>
    <w:r w:rsidR="00BD3F80">
      <w:rPr>
        <w:rFonts w:asciiTheme="minorHAnsi" w:hAnsiTheme="minorHAnsi" w:cs="Calibri"/>
        <w:sz w:val="20"/>
      </w:rPr>
      <w:fldChar w:fldCharType="separate"/>
    </w:r>
    <w:r w:rsidR="00255437" w:rsidRPr="00255437">
      <w:rPr>
        <w:rStyle w:val="Strong"/>
        <w:rFonts w:asciiTheme="minorHAnsi" w:hAnsiTheme="minorHAnsi" w:cstheme="minorHAnsi"/>
        <w:lang w:val="en-GB"/>
      </w:rPr>
      <w:t>RFP-</w:t>
    </w:r>
    <w:r w:rsidR="007F648E">
      <w:rPr>
        <w:rStyle w:val="Strong"/>
        <w:rFonts w:asciiTheme="minorHAnsi" w:hAnsiTheme="minorHAnsi" w:cstheme="minorHAnsi"/>
        <w:lang w:val="en-GB"/>
      </w:rPr>
      <w:t>22-W003-24</w:t>
    </w:r>
    <w:r w:rsidR="00BD3F80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335B9"/>
    <w:multiLevelType w:val="multilevel"/>
    <w:tmpl w:val="6402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357050A6"/>
    <w:multiLevelType w:val="multilevel"/>
    <w:tmpl w:val="67FA7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E23568"/>
    <w:multiLevelType w:val="hybridMultilevel"/>
    <w:tmpl w:val="27A8B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70826"/>
    <w:multiLevelType w:val="hybridMultilevel"/>
    <w:tmpl w:val="99CCB3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D0299"/>
    <w:multiLevelType w:val="hybridMultilevel"/>
    <w:tmpl w:val="FEA00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A218D8"/>
    <w:multiLevelType w:val="hybridMultilevel"/>
    <w:tmpl w:val="9D1E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39685">
    <w:abstractNumId w:val="2"/>
  </w:num>
  <w:num w:numId="2" w16cid:durableId="1634948361">
    <w:abstractNumId w:val="19"/>
  </w:num>
  <w:num w:numId="3" w16cid:durableId="511920867">
    <w:abstractNumId w:val="20"/>
  </w:num>
  <w:num w:numId="4" w16cid:durableId="1843817093">
    <w:abstractNumId w:val="11"/>
  </w:num>
  <w:num w:numId="5" w16cid:durableId="339089918">
    <w:abstractNumId w:val="10"/>
  </w:num>
  <w:num w:numId="6" w16cid:durableId="322970256">
    <w:abstractNumId w:val="15"/>
  </w:num>
  <w:num w:numId="7" w16cid:durableId="221253022">
    <w:abstractNumId w:val="12"/>
  </w:num>
  <w:num w:numId="8" w16cid:durableId="507333758">
    <w:abstractNumId w:val="17"/>
  </w:num>
  <w:num w:numId="9" w16cid:durableId="1769737596">
    <w:abstractNumId w:val="0"/>
  </w:num>
  <w:num w:numId="10" w16cid:durableId="1911186605">
    <w:abstractNumId w:val="16"/>
  </w:num>
  <w:num w:numId="11" w16cid:durableId="1487698929">
    <w:abstractNumId w:val="5"/>
  </w:num>
  <w:num w:numId="12" w16cid:durableId="903028649">
    <w:abstractNumId w:val="14"/>
  </w:num>
  <w:num w:numId="13" w16cid:durableId="2127191766">
    <w:abstractNumId w:val="18"/>
  </w:num>
  <w:num w:numId="14" w16cid:durableId="1296713642">
    <w:abstractNumId w:val="9"/>
  </w:num>
  <w:num w:numId="15" w16cid:durableId="1465124044">
    <w:abstractNumId w:val="13"/>
  </w:num>
  <w:num w:numId="16" w16cid:durableId="714429493">
    <w:abstractNumId w:val="8"/>
  </w:num>
  <w:num w:numId="17" w16cid:durableId="172569274">
    <w:abstractNumId w:val="4"/>
  </w:num>
  <w:num w:numId="18" w16cid:durableId="1313366096">
    <w:abstractNumId w:val="3"/>
  </w:num>
  <w:num w:numId="19" w16cid:durableId="186915259">
    <w:abstractNumId w:val="1"/>
  </w:num>
  <w:num w:numId="20" w16cid:durableId="254901649">
    <w:abstractNumId w:val="7"/>
  </w:num>
  <w:num w:numId="21" w16cid:durableId="36367998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05E9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46B6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38A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11A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3733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078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2E9C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C26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2E92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06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3404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0DF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13B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C1E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0D3A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F23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48E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48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12B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159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3436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B5D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536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770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49D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B050FE29-08D2-491D-ACAF-C371F75A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uiPriority w:val="22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7A31F7-A9B8-4598-9FB1-1A5F6708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128</TotalTime>
  <Pages>5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2134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11</cp:revision>
  <cp:lastPrinted>2013-10-18T08:32:00Z</cp:lastPrinted>
  <dcterms:created xsi:type="dcterms:W3CDTF">2020-07-06T13:10:00Z</dcterms:created>
  <dcterms:modified xsi:type="dcterms:W3CDTF">2024-04-04T22:06:00Z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